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FEA3" w14:textId="77777777" w:rsidR="00166C53" w:rsidRDefault="00166C53" w:rsidP="00D97046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31C2326F" w14:textId="27F0D474" w:rsidR="00070ED3" w:rsidRPr="00C21CB7" w:rsidRDefault="00A63EF0" w:rsidP="00D97046">
      <w:pPr>
        <w:jc w:val="center"/>
        <w:rPr>
          <w:rFonts w:ascii="Segoe UI" w:hAnsi="Segoe UI" w:cs="Segoe UI"/>
          <w:sz w:val="28"/>
          <w:szCs w:val="28"/>
        </w:rPr>
      </w:pPr>
      <w:r w:rsidRPr="00C21CB7">
        <w:rPr>
          <w:rFonts w:ascii="Segoe UI" w:hAnsi="Segoe UI" w:cs="Segoe UI"/>
          <w:b/>
          <w:sz w:val="28"/>
          <w:szCs w:val="28"/>
        </w:rPr>
        <w:t xml:space="preserve">Příloha </w:t>
      </w:r>
      <w:proofErr w:type="gramStart"/>
      <w:r w:rsidR="00D97046" w:rsidRPr="00C21CB7">
        <w:rPr>
          <w:rFonts w:ascii="Segoe UI" w:hAnsi="Segoe UI" w:cs="Segoe UI"/>
          <w:b/>
          <w:sz w:val="28"/>
          <w:szCs w:val="28"/>
        </w:rPr>
        <w:t>04a</w:t>
      </w:r>
      <w:proofErr w:type="gramEnd"/>
      <w:r w:rsidR="007603B6" w:rsidRPr="00C21CB7">
        <w:rPr>
          <w:rFonts w:ascii="Segoe UI" w:hAnsi="Segoe UI" w:cs="Segoe UI"/>
          <w:b/>
          <w:sz w:val="28"/>
          <w:szCs w:val="28"/>
        </w:rPr>
        <w:t xml:space="preserve"> Pravidel pro žadatele a příjemce podpory </w:t>
      </w:r>
      <w:r w:rsidR="00F82FE7">
        <w:rPr>
          <w:rFonts w:ascii="Segoe UI" w:hAnsi="Segoe UI" w:cs="Segoe UI"/>
          <w:b/>
          <w:sz w:val="28"/>
          <w:szCs w:val="28"/>
        </w:rPr>
        <w:br/>
      </w:r>
      <w:r w:rsidR="007603B6" w:rsidRPr="00C21CB7">
        <w:rPr>
          <w:rFonts w:ascii="Segoe UI" w:hAnsi="Segoe UI" w:cs="Segoe UI"/>
          <w:b/>
          <w:sz w:val="28"/>
          <w:szCs w:val="28"/>
        </w:rPr>
        <w:t>OPŽP 2021–2027</w:t>
      </w:r>
    </w:p>
    <w:p w14:paraId="60D33CE8" w14:textId="4AF4ED8D" w:rsidR="00070ED3" w:rsidRDefault="00D97046" w:rsidP="00070ED3">
      <w:pPr>
        <w:jc w:val="center"/>
        <w:rPr>
          <w:rFonts w:ascii="Segoe UI" w:hAnsi="Segoe UI" w:cs="Segoe UI"/>
          <w:b/>
          <w:color w:val="2E74B5" w:themeColor="accent1" w:themeShade="BF"/>
          <w:sz w:val="28"/>
          <w:szCs w:val="28"/>
        </w:rPr>
      </w:pPr>
      <w:r w:rsidRPr="00070ED3">
        <w:rPr>
          <w:rFonts w:ascii="Segoe UI" w:hAnsi="Segoe UI" w:cs="Segoe UI"/>
          <w:b/>
          <w:color w:val="2E74B5" w:themeColor="accent1" w:themeShade="BF"/>
          <w:sz w:val="28"/>
          <w:szCs w:val="28"/>
        </w:rPr>
        <w:t xml:space="preserve"> Veřejná</w:t>
      </w:r>
      <w:r w:rsidR="00A63EF0" w:rsidRPr="00070ED3">
        <w:rPr>
          <w:rFonts w:ascii="Segoe UI" w:hAnsi="Segoe UI" w:cs="Segoe UI"/>
          <w:b/>
          <w:color w:val="2E74B5" w:themeColor="accent1" w:themeShade="BF"/>
          <w:sz w:val="28"/>
          <w:szCs w:val="28"/>
        </w:rPr>
        <w:t xml:space="preserve"> podpora</w:t>
      </w:r>
    </w:p>
    <w:p w14:paraId="314A2898" w14:textId="77777777" w:rsidR="00070ED3" w:rsidRPr="00070ED3" w:rsidRDefault="00070ED3" w:rsidP="00070ED3">
      <w:pPr>
        <w:jc w:val="center"/>
        <w:rPr>
          <w:rFonts w:ascii="Segoe UI" w:hAnsi="Segoe UI" w:cs="Segoe UI"/>
          <w:b/>
          <w:color w:val="2E74B5" w:themeColor="accent1" w:themeShade="BF"/>
          <w:sz w:val="28"/>
          <w:szCs w:val="28"/>
        </w:rPr>
      </w:pPr>
    </w:p>
    <w:p w14:paraId="507A8399" w14:textId="5D131C8A" w:rsidR="00444531" w:rsidRPr="00A63EF0" w:rsidRDefault="00A00D2D" w:rsidP="00B12AB3">
      <w:pPr>
        <w:spacing w:after="0" w:line="312" w:lineRule="auto"/>
        <w:jc w:val="both"/>
        <w:rPr>
          <w:rFonts w:ascii="Segoe UI" w:hAnsi="Segoe UI" w:cs="Segoe UI"/>
        </w:rPr>
      </w:pPr>
      <w:r w:rsidRPr="00A63EF0">
        <w:rPr>
          <w:rFonts w:ascii="Segoe UI" w:hAnsi="Segoe UI" w:cs="Segoe UI"/>
        </w:rPr>
        <w:t>Níže je uveden stručný přehled typů veřejných podpor</w:t>
      </w:r>
      <w:r w:rsidR="008576A9" w:rsidRPr="00A63EF0">
        <w:rPr>
          <w:rFonts w:ascii="Segoe UI" w:hAnsi="Segoe UI" w:cs="Segoe UI"/>
        </w:rPr>
        <w:t xml:space="preserve"> (VP)</w:t>
      </w:r>
      <w:r w:rsidRPr="00A63EF0">
        <w:rPr>
          <w:rFonts w:ascii="Segoe UI" w:hAnsi="Segoe UI" w:cs="Segoe UI"/>
        </w:rPr>
        <w:t xml:space="preserve">, maximálních intenzit a bonusů pro malé </w:t>
      </w:r>
      <w:r w:rsidR="008576A9" w:rsidRPr="00A63EF0">
        <w:rPr>
          <w:rFonts w:ascii="Segoe UI" w:hAnsi="Segoe UI" w:cs="Segoe UI"/>
        </w:rPr>
        <w:t xml:space="preserve">podniky (MP) </w:t>
      </w:r>
      <w:r w:rsidRPr="00A63EF0">
        <w:rPr>
          <w:rFonts w:ascii="Segoe UI" w:hAnsi="Segoe UI" w:cs="Segoe UI"/>
        </w:rPr>
        <w:t>a střední podniky</w:t>
      </w:r>
      <w:r w:rsidR="008576A9" w:rsidRPr="00A63EF0">
        <w:rPr>
          <w:rFonts w:ascii="Segoe UI" w:hAnsi="Segoe UI" w:cs="Segoe UI"/>
        </w:rPr>
        <w:t xml:space="preserve"> (SP)</w:t>
      </w:r>
      <w:r w:rsidR="005E0DB3" w:rsidRPr="00A63EF0">
        <w:rPr>
          <w:rFonts w:ascii="Segoe UI" w:hAnsi="Segoe UI" w:cs="Segoe UI"/>
        </w:rPr>
        <w:t>, včetně notifikačních prahů</w:t>
      </w:r>
      <w:r w:rsidR="00CE5D97" w:rsidRPr="00A63EF0">
        <w:rPr>
          <w:rFonts w:ascii="Segoe UI" w:hAnsi="Segoe UI" w:cs="Segoe UI"/>
        </w:rPr>
        <w:t xml:space="preserve"> u legislativních předpisů VP </w:t>
      </w:r>
      <w:r w:rsidR="005E0DB3" w:rsidRPr="00A63EF0">
        <w:rPr>
          <w:rFonts w:ascii="Segoe UI" w:hAnsi="Segoe UI" w:cs="Segoe UI"/>
        </w:rPr>
        <w:t>využívaných</w:t>
      </w:r>
      <w:r w:rsidR="00CE5D97" w:rsidRPr="00A63EF0">
        <w:rPr>
          <w:rFonts w:ascii="Segoe UI" w:hAnsi="Segoe UI" w:cs="Segoe UI"/>
        </w:rPr>
        <w:t xml:space="preserve"> pro OPŽP </w:t>
      </w:r>
      <w:r w:rsidR="00A63EF0" w:rsidRPr="00A63EF0">
        <w:rPr>
          <w:rFonts w:ascii="Segoe UI" w:hAnsi="Segoe UI" w:cs="Segoe UI"/>
        </w:rPr>
        <w:t>2021–2027</w:t>
      </w:r>
      <w:r w:rsidRPr="00A63EF0">
        <w:rPr>
          <w:rFonts w:ascii="Segoe UI" w:hAnsi="Segoe UI" w:cs="Segoe UI"/>
        </w:rPr>
        <w:t xml:space="preserve">. </w:t>
      </w:r>
      <w:r w:rsidR="00551BA0" w:rsidRPr="00A63EF0">
        <w:rPr>
          <w:rFonts w:ascii="Segoe UI" w:hAnsi="Segoe UI" w:cs="Segoe UI"/>
        </w:rPr>
        <w:t>Podrobnosti</w:t>
      </w:r>
      <w:r w:rsidR="00C23D4E" w:rsidRPr="00A63EF0">
        <w:rPr>
          <w:rFonts w:ascii="Segoe UI" w:hAnsi="Segoe UI" w:cs="Segoe UI"/>
        </w:rPr>
        <w:t xml:space="preserve"> k podmínkám, způsobilosti výdajů </w:t>
      </w:r>
      <w:r w:rsidR="00F82FE7">
        <w:rPr>
          <w:rFonts w:ascii="Segoe UI" w:hAnsi="Segoe UI" w:cs="Segoe UI"/>
        </w:rPr>
        <w:br/>
      </w:r>
      <w:r w:rsidR="00C23D4E" w:rsidRPr="00A63EF0">
        <w:rPr>
          <w:rFonts w:ascii="Segoe UI" w:hAnsi="Segoe UI" w:cs="Segoe UI"/>
        </w:rPr>
        <w:t>a maximální podpoře</w:t>
      </w:r>
      <w:r w:rsidR="00551BA0" w:rsidRPr="00A63EF0">
        <w:rPr>
          <w:rFonts w:ascii="Segoe UI" w:hAnsi="Segoe UI" w:cs="Segoe UI"/>
        </w:rPr>
        <w:t xml:space="preserve"> budou</w:t>
      </w:r>
      <w:r w:rsidR="00C23D4E" w:rsidRPr="00A63EF0">
        <w:rPr>
          <w:rFonts w:ascii="Segoe UI" w:hAnsi="Segoe UI" w:cs="Segoe UI"/>
        </w:rPr>
        <w:t xml:space="preserve"> vždy</w:t>
      </w:r>
      <w:r w:rsidR="00551BA0" w:rsidRPr="00A63EF0">
        <w:rPr>
          <w:rFonts w:ascii="Segoe UI" w:hAnsi="Segoe UI" w:cs="Segoe UI"/>
        </w:rPr>
        <w:t xml:space="preserve"> uvedeny ve výzvě a v příloze k výzvě – Analýze souladu s pravidly pro veřejnou podporu.</w:t>
      </w:r>
    </w:p>
    <w:p w14:paraId="684E8154" w14:textId="77777777" w:rsidR="00673CF0" w:rsidRPr="00A63EF0" w:rsidRDefault="00673CF0" w:rsidP="00B12AB3">
      <w:pPr>
        <w:spacing w:after="0" w:line="312" w:lineRule="auto"/>
        <w:jc w:val="both"/>
        <w:rPr>
          <w:rFonts w:ascii="Segoe UI" w:hAnsi="Segoe UI" w:cs="Segoe UI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3"/>
        <w:gridCol w:w="1795"/>
        <w:gridCol w:w="1807"/>
        <w:gridCol w:w="1895"/>
        <w:gridCol w:w="1402"/>
      </w:tblGrid>
      <w:tr w:rsidR="00912355" w:rsidRPr="00F74161" w14:paraId="0A679791" w14:textId="013E436E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25B9707A" w14:textId="77777777" w:rsidR="00912355" w:rsidRPr="00F74161" w:rsidRDefault="0091235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Předpis/článek</w:t>
            </w:r>
          </w:p>
        </w:tc>
        <w:tc>
          <w:tcPr>
            <w:tcW w:w="1795" w:type="dxa"/>
            <w:shd w:val="clear" w:color="auto" w:fill="BDD6EE" w:themeFill="accent1" w:themeFillTint="66"/>
            <w:vAlign w:val="center"/>
          </w:tcPr>
          <w:p w14:paraId="561CCFC3" w14:textId="709DFE18" w:rsidR="00912355" w:rsidRPr="00F74161" w:rsidRDefault="0091235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Max VP v Praze</w:t>
            </w:r>
          </w:p>
        </w:tc>
        <w:tc>
          <w:tcPr>
            <w:tcW w:w="1807" w:type="dxa"/>
            <w:shd w:val="clear" w:color="auto" w:fill="BDD6EE" w:themeFill="accent1" w:themeFillTint="66"/>
            <w:vAlign w:val="center"/>
          </w:tcPr>
          <w:p w14:paraId="2A5B44B5" w14:textId="5D15D0BF" w:rsidR="00912355" w:rsidRPr="00F74161" w:rsidRDefault="00912355" w:rsidP="002A69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Max VP pro regiony dle čl. 107 odst. 3 písm. a) Smlouvy o fungování EU</w:t>
            </w:r>
            <w:r w:rsidRPr="00F74161">
              <w:rPr>
                <w:rStyle w:val="Znakapoznpodarou"/>
                <w:rFonts w:ascii="Segoe UI" w:hAnsi="Segoe UI" w:cs="Segoe U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95" w:type="dxa"/>
            <w:shd w:val="clear" w:color="auto" w:fill="BDD6EE" w:themeFill="accent1" w:themeFillTint="66"/>
            <w:vAlign w:val="center"/>
          </w:tcPr>
          <w:p w14:paraId="3BA4E5E0" w14:textId="28F6067E" w:rsidR="00912355" w:rsidRPr="00F74161" w:rsidRDefault="00912355" w:rsidP="002A69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Max VP pro regiony dle čl. 107 odst. 3 písm.  c) Smlouvy o fungování EU</w:t>
            </w:r>
            <w:r w:rsidRPr="00F74161">
              <w:rPr>
                <w:rStyle w:val="Znakapoznpodarou"/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F74161">
              <w:rPr>
                <w:rStyle w:val="Znakapoznpodarou"/>
                <w:rFonts w:ascii="Segoe UI" w:hAnsi="Segoe UI" w:cs="Segoe U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02" w:type="dxa"/>
            <w:shd w:val="clear" w:color="auto" w:fill="BDD6EE" w:themeFill="accent1" w:themeFillTint="66"/>
            <w:vAlign w:val="center"/>
          </w:tcPr>
          <w:p w14:paraId="4CAD7640" w14:textId="1C554C77" w:rsidR="00912355" w:rsidRPr="00F74161" w:rsidRDefault="00912355" w:rsidP="002A69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Notifikační práh</w:t>
            </w:r>
            <w:r w:rsidR="006906AD" w:rsidRPr="00F7416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912355" w:rsidRPr="00F74161" w14:paraId="7819D94E" w14:textId="359E644C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432E57EA" w14:textId="77777777" w:rsidR="00912355" w:rsidRPr="00F74161" w:rsidRDefault="0091235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De minimis 1407/2013</w:t>
            </w:r>
          </w:p>
        </w:tc>
        <w:tc>
          <w:tcPr>
            <w:tcW w:w="1795" w:type="dxa"/>
            <w:vAlign w:val="center"/>
          </w:tcPr>
          <w:p w14:paraId="63EF755C" w14:textId="6F0EF456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07" w:type="dxa"/>
            <w:vAlign w:val="center"/>
          </w:tcPr>
          <w:p w14:paraId="747643F4" w14:textId="2BC07F48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95" w:type="dxa"/>
            <w:vAlign w:val="center"/>
          </w:tcPr>
          <w:p w14:paraId="495FF28B" w14:textId="12DFABB9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402" w:type="dxa"/>
            <w:vAlign w:val="center"/>
          </w:tcPr>
          <w:p w14:paraId="187A7DE5" w14:textId="507EFDEF" w:rsidR="00912355" w:rsidRPr="00F74161" w:rsidRDefault="0032790E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n/r</w:t>
            </w:r>
          </w:p>
        </w:tc>
      </w:tr>
      <w:tr w:rsidR="00912355" w:rsidRPr="00F74161" w14:paraId="2C72028D" w14:textId="2E3C7C34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12B2744F" w14:textId="2B55699F" w:rsidR="00912355" w:rsidRPr="00F74161" w:rsidRDefault="00912355" w:rsidP="00551BA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 xml:space="preserve">De </w:t>
            </w:r>
            <w:proofErr w:type="spellStart"/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minimis</w:t>
            </w:r>
            <w:proofErr w:type="spellEnd"/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 xml:space="preserve"> 1408/2013</w:t>
            </w:r>
            <w:r w:rsidR="00B25C3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CE42FF">
              <w:rPr>
                <w:rFonts w:ascii="Segoe UI" w:hAnsi="Segoe UI" w:cs="Segoe UI"/>
                <w:b/>
                <w:sz w:val="20"/>
                <w:szCs w:val="20"/>
              </w:rPr>
              <w:t>Agri</w:t>
            </w:r>
            <w:proofErr w:type="spellEnd"/>
          </w:p>
        </w:tc>
        <w:tc>
          <w:tcPr>
            <w:tcW w:w="1795" w:type="dxa"/>
            <w:vAlign w:val="center"/>
          </w:tcPr>
          <w:p w14:paraId="6324AE9F" w14:textId="29CBA563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07" w:type="dxa"/>
            <w:vAlign w:val="center"/>
          </w:tcPr>
          <w:p w14:paraId="114C053F" w14:textId="04947DE4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95" w:type="dxa"/>
            <w:vAlign w:val="center"/>
          </w:tcPr>
          <w:p w14:paraId="762BCCC8" w14:textId="4FAE4CC6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402" w:type="dxa"/>
            <w:vAlign w:val="center"/>
          </w:tcPr>
          <w:p w14:paraId="6175B1B4" w14:textId="30DD90D1" w:rsidR="00912355" w:rsidRPr="00F74161" w:rsidRDefault="0032790E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n/r</w:t>
            </w:r>
          </w:p>
        </w:tc>
      </w:tr>
      <w:tr w:rsidR="00912355" w:rsidRPr="00F74161" w14:paraId="63CA1B91" w14:textId="7B2F25EC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7CCC524A" w14:textId="77777777" w:rsidR="00FE6E4E" w:rsidRPr="00F74161" w:rsidRDefault="00912355" w:rsidP="00A92DD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 xml:space="preserve">De minimis </w:t>
            </w:r>
          </w:p>
          <w:p w14:paraId="2CD8ABB2" w14:textId="78978392" w:rsidR="00912355" w:rsidRPr="00F74161" w:rsidRDefault="00912355" w:rsidP="00A92DD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707/2014</w:t>
            </w:r>
            <w:r w:rsidR="00B25C3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CE42FF">
              <w:rPr>
                <w:rFonts w:ascii="Segoe UI" w:hAnsi="Segoe UI" w:cs="Segoe UI"/>
                <w:b/>
                <w:sz w:val="20"/>
                <w:szCs w:val="20"/>
              </w:rPr>
              <w:t>Fish</w:t>
            </w:r>
            <w:proofErr w:type="spellEnd"/>
          </w:p>
        </w:tc>
        <w:tc>
          <w:tcPr>
            <w:tcW w:w="1795" w:type="dxa"/>
            <w:vAlign w:val="center"/>
          </w:tcPr>
          <w:p w14:paraId="0F3FA8A7" w14:textId="6CC42391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07" w:type="dxa"/>
            <w:vAlign w:val="center"/>
          </w:tcPr>
          <w:p w14:paraId="1835D21B" w14:textId="3B955123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95" w:type="dxa"/>
            <w:vAlign w:val="center"/>
          </w:tcPr>
          <w:p w14:paraId="2BE9C106" w14:textId="6A566F13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402" w:type="dxa"/>
            <w:vAlign w:val="center"/>
          </w:tcPr>
          <w:p w14:paraId="5ACEBF46" w14:textId="67851AE7" w:rsidR="00912355" w:rsidRPr="00F74161" w:rsidRDefault="0032790E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n/r</w:t>
            </w:r>
          </w:p>
        </w:tc>
      </w:tr>
      <w:tr w:rsidR="00912355" w:rsidRPr="00F74161" w14:paraId="58EF8854" w14:textId="488CDA0A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0902DCD0" w14:textId="77777777" w:rsidR="00FE6E4E" w:rsidRPr="00F74161" w:rsidRDefault="00912355" w:rsidP="00A92DD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 xml:space="preserve">De minimis </w:t>
            </w:r>
          </w:p>
          <w:p w14:paraId="5B9067A2" w14:textId="1D0C116F" w:rsidR="00912355" w:rsidRPr="00F74161" w:rsidRDefault="00912355" w:rsidP="00A92DD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360/2012</w:t>
            </w:r>
            <w:r w:rsidR="00B25C3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E42FF">
              <w:rPr>
                <w:rFonts w:ascii="Segoe UI" w:hAnsi="Segoe UI" w:cs="Segoe UI"/>
                <w:b/>
                <w:sz w:val="20"/>
                <w:szCs w:val="20"/>
              </w:rPr>
              <w:t>SOHZ</w:t>
            </w:r>
          </w:p>
        </w:tc>
        <w:tc>
          <w:tcPr>
            <w:tcW w:w="1795" w:type="dxa"/>
            <w:vAlign w:val="center"/>
          </w:tcPr>
          <w:p w14:paraId="4DE4A983" w14:textId="10F0110F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07" w:type="dxa"/>
            <w:vAlign w:val="center"/>
          </w:tcPr>
          <w:p w14:paraId="5847E380" w14:textId="64CB282A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95" w:type="dxa"/>
            <w:vAlign w:val="center"/>
          </w:tcPr>
          <w:p w14:paraId="03C61AB2" w14:textId="60D0CA8B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402" w:type="dxa"/>
            <w:vAlign w:val="center"/>
          </w:tcPr>
          <w:p w14:paraId="5E9583E7" w14:textId="7865FA9D" w:rsidR="00912355" w:rsidRPr="00F74161" w:rsidRDefault="0032790E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n/r</w:t>
            </w:r>
          </w:p>
        </w:tc>
      </w:tr>
      <w:tr w:rsidR="00912355" w:rsidRPr="00F74161" w14:paraId="71DF19DF" w14:textId="28F21FB1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784DEEC1" w14:textId="77777777" w:rsidR="00912355" w:rsidRPr="00F74161" w:rsidRDefault="00912355" w:rsidP="00A92DD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GBER 14</w:t>
            </w:r>
          </w:p>
        </w:tc>
        <w:tc>
          <w:tcPr>
            <w:tcW w:w="1795" w:type="dxa"/>
            <w:vAlign w:val="center"/>
          </w:tcPr>
          <w:p w14:paraId="60CD660F" w14:textId="77777777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807" w:type="dxa"/>
            <w:vAlign w:val="center"/>
          </w:tcPr>
          <w:p w14:paraId="42D148B5" w14:textId="41923697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Dle platné regionální mapy</w:t>
            </w:r>
            <w:r w:rsidR="00A054CE" w:rsidRPr="00F74161">
              <w:rPr>
                <w:rStyle w:val="Znakapoznpodarou"/>
                <w:rFonts w:ascii="Segoe UI" w:hAnsi="Segoe UI" w:cs="Segoe UI"/>
                <w:sz w:val="20"/>
                <w:szCs w:val="20"/>
              </w:rPr>
              <w:footnoteReference w:id="3"/>
            </w:r>
            <w:r w:rsidRPr="00F74161">
              <w:rPr>
                <w:rFonts w:ascii="Segoe UI" w:hAnsi="Segoe UI" w:cs="Segoe UI"/>
                <w:sz w:val="20"/>
                <w:szCs w:val="20"/>
              </w:rPr>
              <w:t xml:space="preserve"> (SP + 10 %, MP + 20 %)</w:t>
            </w:r>
          </w:p>
        </w:tc>
        <w:tc>
          <w:tcPr>
            <w:tcW w:w="1895" w:type="dxa"/>
            <w:vAlign w:val="center"/>
          </w:tcPr>
          <w:p w14:paraId="6CD87235" w14:textId="44F716EE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Dle platné regionální mapy</w:t>
            </w:r>
            <w:r w:rsidR="00061004" w:rsidRPr="00F74161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  <w:r w:rsidR="00A2084D" w:rsidRPr="00F74161">
              <w:rPr>
                <w:rFonts w:ascii="Segoe UI" w:hAnsi="Segoe UI" w:cs="Segoe UI"/>
                <w:sz w:val="20"/>
                <w:szCs w:val="20"/>
                <w:vertAlign w:val="superscript"/>
              </w:rPr>
              <w:t xml:space="preserve"> </w:t>
            </w:r>
            <w:r w:rsidRPr="00F74161">
              <w:rPr>
                <w:rFonts w:ascii="Segoe UI" w:hAnsi="Segoe UI" w:cs="Segoe UI"/>
                <w:sz w:val="20"/>
                <w:szCs w:val="20"/>
              </w:rPr>
              <w:t>(SP + 10 %, MP + 20 %)</w:t>
            </w:r>
          </w:p>
        </w:tc>
        <w:tc>
          <w:tcPr>
            <w:tcW w:w="1402" w:type="dxa"/>
            <w:vAlign w:val="center"/>
          </w:tcPr>
          <w:p w14:paraId="6BB69CEB" w14:textId="189FD585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12355" w:rsidRPr="00F74161" w14:paraId="6092A6AD" w14:textId="57AED87C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16F08337" w14:textId="77777777" w:rsidR="00912355" w:rsidRPr="00F74161" w:rsidRDefault="00912355" w:rsidP="00A92DD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GBER 36</w:t>
            </w:r>
          </w:p>
        </w:tc>
        <w:tc>
          <w:tcPr>
            <w:tcW w:w="1795" w:type="dxa"/>
            <w:vAlign w:val="center"/>
          </w:tcPr>
          <w:p w14:paraId="23E68A8E" w14:textId="29470BCF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40 % (SP + 10 %, MP + 20 %)</w:t>
            </w:r>
          </w:p>
        </w:tc>
        <w:tc>
          <w:tcPr>
            <w:tcW w:w="1807" w:type="dxa"/>
            <w:vAlign w:val="center"/>
          </w:tcPr>
          <w:p w14:paraId="5E5E3E8E" w14:textId="259CD559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55 % (SP + 10 %, MP + 20 %)</w:t>
            </w:r>
          </w:p>
        </w:tc>
        <w:tc>
          <w:tcPr>
            <w:tcW w:w="1895" w:type="dxa"/>
            <w:vAlign w:val="center"/>
          </w:tcPr>
          <w:p w14:paraId="5AAD2B14" w14:textId="0CB1864F" w:rsidR="00912355" w:rsidRPr="00F74161" w:rsidRDefault="00912355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45 % (SP + 10 %, MP + 20 %)</w:t>
            </w:r>
          </w:p>
        </w:tc>
        <w:tc>
          <w:tcPr>
            <w:tcW w:w="1402" w:type="dxa"/>
            <w:vAlign w:val="center"/>
          </w:tcPr>
          <w:p w14:paraId="69B3E34A" w14:textId="28BE5323" w:rsidR="00912355" w:rsidRPr="00F74161" w:rsidRDefault="0032790E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15 mil. EUR</w:t>
            </w:r>
            <w:r w:rsidR="00E619CC" w:rsidRPr="00F74161">
              <w:rPr>
                <w:rFonts w:ascii="Segoe UI" w:hAnsi="Segoe UI" w:cs="Segoe UI"/>
                <w:sz w:val="20"/>
                <w:szCs w:val="20"/>
              </w:rPr>
              <w:t xml:space="preserve"> na podnik a projekt</w:t>
            </w:r>
          </w:p>
        </w:tc>
      </w:tr>
      <w:tr w:rsidR="00200722" w:rsidRPr="00F74161" w14:paraId="53712981" w14:textId="5494DDA6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0610904D" w14:textId="77777777" w:rsidR="00200722" w:rsidRPr="00F74161" w:rsidRDefault="00200722" w:rsidP="0020072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GBER 38</w:t>
            </w:r>
          </w:p>
        </w:tc>
        <w:tc>
          <w:tcPr>
            <w:tcW w:w="1795" w:type="dxa"/>
            <w:vAlign w:val="center"/>
          </w:tcPr>
          <w:p w14:paraId="447CA068" w14:textId="117A4969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30 % (SP + 10 %, MP + 20 %)</w:t>
            </w:r>
          </w:p>
        </w:tc>
        <w:tc>
          <w:tcPr>
            <w:tcW w:w="1807" w:type="dxa"/>
            <w:vAlign w:val="center"/>
          </w:tcPr>
          <w:p w14:paraId="7C2285BA" w14:textId="1B5F0A47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45 % (SP + 10 %, MP + 20 %)</w:t>
            </w:r>
          </w:p>
        </w:tc>
        <w:tc>
          <w:tcPr>
            <w:tcW w:w="1895" w:type="dxa"/>
            <w:vAlign w:val="center"/>
          </w:tcPr>
          <w:p w14:paraId="2628FC62" w14:textId="55A8B708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35 % (SP + 10 %, MP + 20 %)</w:t>
            </w:r>
          </w:p>
        </w:tc>
        <w:tc>
          <w:tcPr>
            <w:tcW w:w="1402" w:type="dxa"/>
            <w:vAlign w:val="center"/>
          </w:tcPr>
          <w:p w14:paraId="6E07FCFF" w14:textId="6B00167D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15 mil. EUR</w:t>
            </w:r>
            <w:r w:rsidR="0054750B" w:rsidRPr="00F74161">
              <w:rPr>
                <w:rFonts w:ascii="Segoe UI" w:hAnsi="Segoe UI" w:cs="Segoe UI"/>
                <w:sz w:val="20"/>
                <w:szCs w:val="20"/>
              </w:rPr>
              <w:t xml:space="preserve"> na podnik a projekt</w:t>
            </w:r>
          </w:p>
        </w:tc>
      </w:tr>
      <w:tr w:rsidR="00200722" w:rsidRPr="00F74161" w14:paraId="3323C868" w14:textId="03D782B3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480DD91F" w14:textId="77777777" w:rsidR="00200722" w:rsidRPr="00F74161" w:rsidRDefault="00200722" w:rsidP="0020072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GBER 41</w:t>
            </w:r>
          </w:p>
        </w:tc>
        <w:tc>
          <w:tcPr>
            <w:tcW w:w="1795" w:type="dxa"/>
            <w:vAlign w:val="center"/>
          </w:tcPr>
          <w:p w14:paraId="564F6269" w14:textId="281A040F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45 % (SP + 10 %, MP + 20 %)</w:t>
            </w:r>
          </w:p>
        </w:tc>
        <w:tc>
          <w:tcPr>
            <w:tcW w:w="1807" w:type="dxa"/>
            <w:vAlign w:val="center"/>
          </w:tcPr>
          <w:p w14:paraId="3E7F426B" w14:textId="091A8B1E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60</w:t>
            </w:r>
            <w:r w:rsidRPr="00F74161">
              <w:rPr>
                <w:rStyle w:val="Znakapoznpodarou"/>
                <w:rFonts w:ascii="Segoe UI" w:hAnsi="Segoe UI" w:cs="Segoe UI"/>
                <w:sz w:val="20"/>
                <w:szCs w:val="20"/>
              </w:rPr>
              <w:t xml:space="preserve"> </w:t>
            </w:r>
            <w:r w:rsidRPr="00F74161">
              <w:rPr>
                <w:rFonts w:ascii="Segoe UI" w:hAnsi="Segoe UI" w:cs="Segoe UI"/>
                <w:sz w:val="20"/>
                <w:szCs w:val="20"/>
              </w:rPr>
              <w:t>% (SP + 10 %, MP + 20 %)</w:t>
            </w:r>
          </w:p>
        </w:tc>
        <w:tc>
          <w:tcPr>
            <w:tcW w:w="1895" w:type="dxa"/>
            <w:vAlign w:val="center"/>
          </w:tcPr>
          <w:p w14:paraId="71DFF477" w14:textId="61A634D8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50 % (SP + 10 %, MP + 20 %)</w:t>
            </w:r>
          </w:p>
        </w:tc>
        <w:tc>
          <w:tcPr>
            <w:tcW w:w="1402" w:type="dxa"/>
            <w:vAlign w:val="center"/>
          </w:tcPr>
          <w:p w14:paraId="25BA3071" w14:textId="77777777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15 mil. EUR</w:t>
            </w:r>
          </w:p>
          <w:p w14:paraId="7DBDC6A5" w14:textId="6FA7B994" w:rsidR="0054750B" w:rsidRPr="00F74161" w:rsidRDefault="0054750B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Na podnik a projekt</w:t>
            </w:r>
          </w:p>
        </w:tc>
      </w:tr>
      <w:tr w:rsidR="00200722" w:rsidRPr="00F74161" w14:paraId="46368FA6" w14:textId="747A9BED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4AA215CD" w14:textId="43937DD7" w:rsidR="00200722" w:rsidRPr="00F74161" w:rsidRDefault="00200722" w:rsidP="0020072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GBER 41 – malá zařízení</w:t>
            </w:r>
          </w:p>
        </w:tc>
        <w:tc>
          <w:tcPr>
            <w:tcW w:w="1795" w:type="dxa"/>
            <w:vAlign w:val="center"/>
          </w:tcPr>
          <w:p w14:paraId="472B406D" w14:textId="0A147357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30 % (SP + 10 %, MP + 20 %)</w:t>
            </w:r>
          </w:p>
        </w:tc>
        <w:tc>
          <w:tcPr>
            <w:tcW w:w="1807" w:type="dxa"/>
            <w:vAlign w:val="center"/>
          </w:tcPr>
          <w:p w14:paraId="61535F1A" w14:textId="3FBAD1ED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45</w:t>
            </w:r>
            <w:r w:rsidRPr="00F74161">
              <w:rPr>
                <w:rStyle w:val="Znakapoznpodarou"/>
                <w:rFonts w:ascii="Segoe UI" w:hAnsi="Segoe UI" w:cs="Segoe UI"/>
                <w:sz w:val="20"/>
                <w:szCs w:val="20"/>
              </w:rPr>
              <w:t xml:space="preserve"> </w:t>
            </w:r>
            <w:r w:rsidRPr="00F74161">
              <w:rPr>
                <w:rFonts w:ascii="Segoe UI" w:hAnsi="Segoe UI" w:cs="Segoe UI"/>
                <w:sz w:val="20"/>
                <w:szCs w:val="20"/>
              </w:rPr>
              <w:t>% (SP + 10 %, MP + 20 %)</w:t>
            </w:r>
          </w:p>
        </w:tc>
        <w:tc>
          <w:tcPr>
            <w:tcW w:w="1895" w:type="dxa"/>
            <w:vAlign w:val="center"/>
          </w:tcPr>
          <w:p w14:paraId="5674498D" w14:textId="5E729FB2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35 % (SP + 10 %, MP + 20 %)</w:t>
            </w:r>
          </w:p>
        </w:tc>
        <w:tc>
          <w:tcPr>
            <w:tcW w:w="1402" w:type="dxa"/>
            <w:vAlign w:val="center"/>
          </w:tcPr>
          <w:p w14:paraId="3514D408" w14:textId="77777777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15 mil. EUR</w:t>
            </w:r>
          </w:p>
          <w:p w14:paraId="1EBCDA32" w14:textId="4F0EA29B" w:rsidR="0054750B" w:rsidRPr="00F74161" w:rsidRDefault="0054750B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Na podnik a projekt</w:t>
            </w:r>
          </w:p>
        </w:tc>
      </w:tr>
      <w:tr w:rsidR="00200722" w:rsidRPr="00F74161" w14:paraId="4BEA7C1A" w14:textId="4E0B76D2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7ECC06D5" w14:textId="77777777" w:rsidR="00200722" w:rsidRPr="00F74161" w:rsidRDefault="00200722" w:rsidP="0020072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GBER 45</w:t>
            </w:r>
          </w:p>
        </w:tc>
        <w:tc>
          <w:tcPr>
            <w:tcW w:w="1795" w:type="dxa"/>
            <w:vAlign w:val="center"/>
          </w:tcPr>
          <w:p w14:paraId="742F1D66" w14:textId="74391F25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85 % nebo maximum z výzvy</w:t>
            </w:r>
          </w:p>
        </w:tc>
        <w:tc>
          <w:tcPr>
            <w:tcW w:w="1807" w:type="dxa"/>
            <w:vAlign w:val="center"/>
          </w:tcPr>
          <w:p w14:paraId="4E87D45B" w14:textId="5A57C54E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85 % nebo maximum z výzvy</w:t>
            </w:r>
          </w:p>
        </w:tc>
        <w:tc>
          <w:tcPr>
            <w:tcW w:w="1895" w:type="dxa"/>
            <w:vAlign w:val="center"/>
          </w:tcPr>
          <w:p w14:paraId="50F87664" w14:textId="3E3EDF0F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85 % nebo maximum z výzvy</w:t>
            </w:r>
          </w:p>
        </w:tc>
        <w:tc>
          <w:tcPr>
            <w:tcW w:w="1402" w:type="dxa"/>
            <w:vAlign w:val="center"/>
          </w:tcPr>
          <w:p w14:paraId="0E79ADC9" w14:textId="77777777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20 mil. EUR</w:t>
            </w:r>
          </w:p>
          <w:p w14:paraId="28DA3B25" w14:textId="21606953" w:rsidR="0054750B" w:rsidRPr="00F74161" w:rsidRDefault="0054750B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Na podnik a projekt</w:t>
            </w:r>
          </w:p>
        </w:tc>
      </w:tr>
      <w:tr w:rsidR="00200722" w:rsidRPr="00F74161" w14:paraId="6C311CB9" w14:textId="571BC0A6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7DA7D180" w14:textId="77777777" w:rsidR="00200722" w:rsidRPr="00F74161" w:rsidRDefault="00200722" w:rsidP="0020072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 xml:space="preserve">GBER 46 zdroje </w:t>
            </w:r>
          </w:p>
        </w:tc>
        <w:tc>
          <w:tcPr>
            <w:tcW w:w="1795" w:type="dxa"/>
            <w:vAlign w:val="center"/>
          </w:tcPr>
          <w:p w14:paraId="2A1D1676" w14:textId="696C6618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45 % (SP + 10 %, MP + 20 %)</w:t>
            </w:r>
          </w:p>
        </w:tc>
        <w:tc>
          <w:tcPr>
            <w:tcW w:w="1807" w:type="dxa"/>
            <w:vAlign w:val="center"/>
          </w:tcPr>
          <w:p w14:paraId="38F36331" w14:textId="7E9599E1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60 % (SP + 10 %, MP + 20 %)</w:t>
            </w:r>
          </w:p>
        </w:tc>
        <w:tc>
          <w:tcPr>
            <w:tcW w:w="1895" w:type="dxa"/>
            <w:vAlign w:val="center"/>
          </w:tcPr>
          <w:p w14:paraId="20635B99" w14:textId="4E6CB82A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50 % (SP + 10 %, MP + 20 %)</w:t>
            </w:r>
          </w:p>
        </w:tc>
        <w:tc>
          <w:tcPr>
            <w:tcW w:w="1402" w:type="dxa"/>
            <w:vAlign w:val="center"/>
          </w:tcPr>
          <w:p w14:paraId="682E9478" w14:textId="77777777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15 mil. EUR</w:t>
            </w:r>
          </w:p>
          <w:p w14:paraId="5EBA81B6" w14:textId="0AC95ED8" w:rsidR="0054750B" w:rsidRPr="00F74161" w:rsidRDefault="0054750B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Na podnik a projekt</w:t>
            </w:r>
          </w:p>
        </w:tc>
      </w:tr>
      <w:tr w:rsidR="00200722" w:rsidRPr="00F74161" w14:paraId="52B11ECF" w14:textId="340F020D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3327E1D0" w14:textId="77777777" w:rsidR="00200722" w:rsidRPr="00F74161" w:rsidRDefault="00200722" w:rsidP="0020072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GBER 46 rozvody</w:t>
            </w:r>
          </w:p>
        </w:tc>
        <w:tc>
          <w:tcPr>
            <w:tcW w:w="1795" w:type="dxa"/>
            <w:vAlign w:val="center"/>
          </w:tcPr>
          <w:p w14:paraId="1C0EC51A" w14:textId="3BE2087D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85 %</w:t>
            </w:r>
            <w:r w:rsidRPr="00F74161">
              <w:rPr>
                <w:rStyle w:val="Znakapoznpodarou"/>
                <w:rFonts w:ascii="Segoe UI" w:hAnsi="Segoe UI" w:cs="Segoe UI"/>
                <w:sz w:val="20"/>
                <w:szCs w:val="20"/>
              </w:rPr>
              <w:t xml:space="preserve"> </w:t>
            </w:r>
            <w:r w:rsidRPr="00F74161">
              <w:rPr>
                <w:rFonts w:ascii="Segoe UI" w:hAnsi="Segoe UI" w:cs="Segoe UI"/>
                <w:sz w:val="20"/>
                <w:szCs w:val="20"/>
              </w:rPr>
              <w:t>nebo maximum z výzvy</w:t>
            </w:r>
          </w:p>
        </w:tc>
        <w:tc>
          <w:tcPr>
            <w:tcW w:w="1807" w:type="dxa"/>
            <w:vAlign w:val="center"/>
          </w:tcPr>
          <w:p w14:paraId="7DAC366E" w14:textId="72BC5612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85 % nebo maximum z výzvy</w:t>
            </w:r>
          </w:p>
        </w:tc>
        <w:tc>
          <w:tcPr>
            <w:tcW w:w="1895" w:type="dxa"/>
            <w:vAlign w:val="center"/>
          </w:tcPr>
          <w:p w14:paraId="7300289A" w14:textId="0D00194B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85 % nebo maximum z výzvy</w:t>
            </w:r>
          </w:p>
        </w:tc>
        <w:tc>
          <w:tcPr>
            <w:tcW w:w="1402" w:type="dxa"/>
            <w:vAlign w:val="center"/>
          </w:tcPr>
          <w:p w14:paraId="713ABDB4" w14:textId="77777777" w:rsidR="00200722" w:rsidRPr="00F74161" w:rsidRDefault="00200722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20 mil. EUR</w:t>
            </w:r>
          </w:p>
          <w:p w14:paraId="3ECE8BE2" w14:textId="54137964" w:rsidR="0054750B" w:rsidRPr="00F74161" w:rsidRDefault="0054750B" w:rsidP="00B12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Na podnik a projekt</w:t>
            </w:r>
          </w:p>
        </w:tc>
      </w:tr>
      <w:tr w:rsidR="00CE42FF" w:rsidRPr="00F74161" w14:paraId="0FFDFB7E" w14:textId="77777777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185DD6A5" w14:textId="4A640774" w:rsidR="00CE42FF" w:rsidRPr="00F74161" w:rsidRDefault="00CE42FF" w:rsidP="00CE42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GBER 47</w:t>
            </w:r>
          </w:p>
        </w:tc>
        <w:tc>
          <w:tcPr>
            <w:tcW w:w="1795" w:type="dxa"/>
            <w:vAlign w:val="center"/>
          </w:tcPr>
          <w:p w14:paraId="63003814" w14:textId="7A7ED80F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35 % </w:t>
            </w:r>
            <w:r w:rsidRPr="00F74161">
              <w:rPr>
                <w:rFonts w:ascii="Segoe UI" w:hAnsi="Segoe UI" w:cs="Segoe UI"/>
                <w:sz w:val="20"/>
                <w:szCs w:val="20"/>
              </w:rPr>
              <w:t>(SP + 10 %, MP + 20 %)</w:t>
            </w:r>
          </w:p>
        </w:tc>
        <w:tc>
          <w:tcPr>
            <w:tcW w:w="1807" w:type="dxa"/>
            <w:vAlign w:val="center"/>
          </w:tcPr>
          <w:p w14:paraId="1A7443B1" w14:textId="6F33BF5E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50 % </w:t>
            </w:r>
            <w:r w:rsidRPr="00F74161">
              <w:rPr>
                <w:rFonts w:ascii="Segoe UI" w:hAnsi="Segoe UI" w:cs="Segoe UI"/>
                <w:sz w:val="20"/>
                <w:szCs w:val="20"/>
              </w:rPr>
              <w:t>(SP + 10 %, MP + 20 %)</w:t>
            </w:r>
          </w:p>
        </w:tc>
        <w:tc>
          <w:tcPr>
            <w:tcW w:w="1895" w:type="dxa"/>
            <w:vAlign w:val="center"/>
          </w:tcPr>
          <w:p w14:paraId="79558A68" w14:textId="2F41662C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40 % </w:t>
            </w:r>
            <w:r w:rsidRPr="00F74161">
              <w:rPr>
                <w:rFonts w:ascii="Segoe UI" w:hAnsi="Segoe UI" w:cs="Segoe UI"/>
                <w:sz w:val="20"/>
                <w:szCs w:val="20"/>
              </w:rPr>
              <w:t>(SP + 10 %, MP + 20 %)</w:t>
            </w:r>
          </w:p>
        </w:tc>
        <w:tc>
          <w:tcPr>
            <w:tcW w:w="1402" w:type="dxa"/>
            <w:vAlign w:val="center"/>
          </w:tcPr>
          <w:p w14:paraId="7AF9648C" w14:textId="7777777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15 mil. EUR</w:t>
            </w:r>
          </w:p>
          <w:p w14:paraId="61AB9EF5" w14:textId="4C934266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Na podnik a projekt</w:t>
            </w:r>
          </w:p>
        </w:tc>
      </w:tr>
      <w:tr w:rsidR="00CE42FF" w:rsidRPr="00F74161" w14:paraId="4CF20A11" w14:textId="14D92ACE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6FF7C6FC" w14:textId="77777777" w:rsidR="00CE42FF" w:rsidRPr="00F74161" w:rsidRDefault="00CE42FF" w:rsidP="00CE42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GBER 49</w:t>
            </w:r>
          </w:p>
        </w:tc>
        <w:tc>
          <w:tcPr>
            <w:tcW w:w="1795" w:type="dxa"/>
            <w:vAlign w:val="center"/>
          </w:tcPr>
          <w:p w14:paraId="0F999EF2" w14:textId="7777777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50 % (SP + 10 %, MP + 20 %)</w:t>
            </w:r>
          </w:p>
        </w:tc>
        <w:tc>
          <w:tcPr>
            <w:tcW w:w="1807" w:type="dxa"/>
            <w:vAlign w:val="center"/>
          </w:tcPr>
          <w:p w14:paraId="137364E3" w14:textId="7777777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50 % (SP + 10 %, MP + 20 %)</w:t>
            </w:r>
          </w:p>
        </w:tc>
        <w:tc>
          <w:tcPr>
            <w:tcW w:w="1895" w:type="dxa"/>
            <w:vAlign w:val="center"/>
          </w:tcPr>
          <w:p w14:paraId="130F4CA8" w14:textId="2E87A96B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50 % (SP + 10 %, MP + 20 %)</w:t>
            </w:r>
          </w:p>
        </w:tc>
        <w:tc>
          <w:tcPr>
            <w:tcW w:w="1402" w:type="dxa"/>
            <w:vAlign w:val="center"/>
          </w:tcPr>
          <w:p w14:paraId="424DAE60" w14:textId="7777777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15 mil. EUR</w:t>
            </w:r>
          </w:p>
          <w:p w14:paraId="6A4BE22C" w14:textId="2073B10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Na podnik a projekt</w:t>
            </w:r>
          </w:p>
        </w:tc>
      </w:tr>
      <w:tr w:rsidR="00CE42FF" w:rsidRPr="00F74161" w14:paraId="3DA8FD3A" w14:textId="7C309ACE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7C791174" w14:textId="77777777" w:rsidR="00CE42FF" w:rsidRPr="00F74161" w:rsidRDefault="00CE42FF" w:rsidP="00CE42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GBER 53</w:t>
            </w:r>
          </w:p>
        </w:tc>
        <w:tc>
          <w:tcPr>
            <w:tcW w:w="1795" w:type="dxa"/>
            <w:vAlign w:val="center"/>
          </w:tcPr>
          <w:p w14:paraId="4B9F82D4" w14:textId="293E44C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07" w:type="dxa"/>
            <w:vAlign w:val="center"/>
          </w:tcPr>
          <w:p w14:paraId="416AEA3D" w14:textId="54E14F1F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95" w:type="dxa"/>
            <w:vAlign w:val="center"/>
          </w:tcPr>
          <w:p w14:paraId="0C9200CA" w14:textId="62A54761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402" w:type="dxa"/>
            <w:vAlign w:val="center"/>
          </w:tcPr>
          <w:p w14:paraId="6FAFD575" w14:textId="269C167A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150 mil. EUR na projekt</w:t>
            </w:r>
          </w:p>
        </w:tc>
      </w:tr>
      <w:tr w:rsidR="00CE42FF" w:rsidRPr="00F74161" w14:paraId="010E2E0D" w14:textId="479CD6D3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17077676" w14:textId="77777777" w:rsidR="00CE42FF" w:rsidRPr="00F74161" w:rsidRDefault="00CE42FF" w:rsidP="00CE42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GBER 55</w:t>
            </w:r>
          </w:p>
        </w:tc>
        <w:tc>
          <w:tcPr>
            <w:tcW w:w="1795" w:type="dxa"/>
            <w:vAlign w:val="center"/>
          </w:tcPr>
          <w:p w14:paraId="14583EEC" w14:textId="79B03C63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07" w:type="dxa"/>
            <w:vAlign w:val="center"/>
          </w:tcPr>
          <w:p w14:paraId="1872A41A" w14:textId="79098E3C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95" w:type="dxa"/>
            <w:vAlign w:val="center"/>
          </w:tcPr>
          <w:p w14:paraId="06581DC6" w14:textId="7EA27FC4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402" w:type="dxa"/>
            <w:vAlign w:val="center"/>
          </w:tcPr>
          <w:p w14:paraId="66EA3717" w14:textId="1562640F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30 mil. EUR nebo CZV nepřesáhnou 100 mil. EUR</w:t>
            </w:r>
          </w:p>
        </w:tc>
      </w:tr>
      <w:tr w:rsidR="00CE42FF" w:rsidRPr="00F74161" w14:paraId="499FCA17" w14:textId="42505069" w:rsidTr="00CE42FF">
        <w:tc>
          <w:tcPr>
            <w:tcW w:w="2173" w:type="dxa"/>
            <w:shd w:val="clear" w:color="auto" w:fill="BDD6EE" w:themeFill="accent1" w:themeFillTint="66"/>
            <w:vAlign w:val="center"/>
          </w:tcPr>
          <w:p w14:paraId="18094978" w14:textId="77777777" w:rsidR="00CE42FF" w:rsidRPr="00F74161" w:rsidRDefault="00CE42FF" w:rsidP="00CE42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GBER 56</w:t>
            </w:r>
          </w:p>
        </w:tc>
        <w:tc>
          <w:tcPr>
            <w:tcW w:w="1795" w:type="dxa"/>
            <w:vAlign w:val="center"/>
          </w:tcPr>
          <w:p w14:paraId="37544288" w14:textId="3B0C78AA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07" w:type="dxa"/>
            <w:vAlign w:val="center"/>
          </w:tcPr>
          <w:p w14:paraId="36893AC1" w14:textId="687DF25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95" w:type="dxa"/>
            <w:vAlign w:val="center"/>
          </w:tcPr>
          <w:p w14:paraId="7088C010" w14:textId="42C6D29D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402" w:type="dxa"/>
            <w:vAlign w:val="center"/>
          </w:tcPr>
          <w:p w14:paraId="1E29AAEE" w14:textId="7B36807C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10 mil. EUR nebo výdaje na projekt přesahující 20 mil. EUR</w:t>
            </w:r>
          </w:p>
        </w:tc>
      </w:tr>
      <w:tr w:rsidR="00CE42FF" w:rsidRPr="00F74161" w14:paraId="19FB25A4" w14:textId="3F8F3DAF" w:rsidTr="00CE42FF">
        <w:trPr>
          <w:trHeight w:val="448"/>
        </w:trPr>
        <w:tc>
          <w:tcPr>
            <w:tcW w:w="2173" w:type="dxa"/>
            <w:shd w:val="clear" w:color="auto" w:fill="BDD6EE" w:themeFill="accent1" w:themeFillTint="66"/>
            <w:vAlign w:val="center"/>
          </w:tcPr>
          <w:p w14:paraId="1218B53E" w14:textId="77777777" w:rsidR="00CE42FF" w:rsidRPr="00F74161" w:rsidRDefault="00CE42FF" w:rsidP="00CE42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Rozhodnutí SOHZ</w:t>
            </w:r>
            <w:r w:rsidRPr="00F74161">
              <w:rPr>
                <w:rStyle w:val="Znakapoznpodarou"/>
                <w:rFonts w:ascii="Segoe UI" w:hAnsi="Segoe UI" w:cs="Segoe UI"/>
                <w:b/>
                <w:sz w:val="20"/>
                <w:szCs w:val="20"/>
              </w:rPr>
              <w:footnoteReference w:id="4"/>
            </w:r>
          </w:p>
        </w:tc>
        <w:tc>
          <w:tcPr>
            <w:tcW w:w="1795" w:type="dxa"/>
            <w:vAlign w:val="center"/>
          </w:tcPr>
          <w:p w14:paraId="58EDB9AE" w14:textId="608AB729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07" w:type="dxa"/>
            <w:vAlign w:val="center"/>
          </w:tcPr>
          <w:p w14:paraId="32F91DDB" w14:textId="44A18FD6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895" w:type="dxa"/>
            <w:vAlign w:val="center"/>
          </w:tcPr>
          <w:p w14:paraId="45592DB5" w14:textId="0517ECD2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maximum z výzvy</w:t>
            </w:r>
          </w:p>
        </w:tc>
        <w:tc>
          <w:tcPr>
            <w:tcW w:w="1402" w:type="dxa"/>
            <w:vAlign w:val="center"/>
          </w:tcPr>
          <w:p w14:paraId="753E3884" w14:textId="3EBB56AA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n/r</w:t>
            </w:r>
          </w:p>
        </w:tc>
      </w:tr>
      <w:tr w:rsidR="00EE1F82" w:rsidRPr="00F74161" w14:paraId="7E174917" w14:textId="77777777" w:rsidTr="00CE42FF">
        <w:trPr>
          <w:trHeight w:val="448"/>
        </w:trPr>
        <w:tc>
          <w:tcPr>
            <w:tcW w:w="2173" w:type="dxa"/>
            <w:shd w:val="clear" w:color="auto" w:fill="BDD6EE" w:themeFill="accent1" w:themeFillTint="66"/>
            <w:vAlign w:val="center"/>
          </w:tcPr>
          <w:p w14:paraId="77026714" w14:textId="29F5D146" w:rsidR="00EE1F82" w:rsidRPr="00F74161" w:rsidRDefault="00EE1F82" w:rsidP="00CE42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Nařízení SOHZ 1370/2007</w:t>
            </w:r>
          </w:p>
        </w:tc>
        <w:tc>
          <w:tcPr>
            <w:tcW w:w="1795" w:type="dxa"/>
            <w:vAlign w:val="center"/>
          </w:tcPr>
          <w:p w14:paraId="32395D5B" w14:textId="0483F10F" w:rsidR="00EE1F82" w:rsidRPr="00F74161" w:rsidRDefault="00EE1F82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Maximum z výzvy</w:t>
            </w:r>
          </w:p>
        </w:tc>
        <w:tc>
          <w:tcPr>
            <w:tcW w:w="1807" w:type="dxa"/>
            <w:vAlign w:val="center"/>
          </w:tcPr>
          <w:p w14:paraId="5DBF45E5" w14:textId="3AB6303F" w:rsidR="00EE1F82" w:rsidRPr="00F74161" w:rsidRDefault="00EE1F82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Maximum z výzvy</w:t>
            </w:r>
          </w:p>
        </w:tc>
        <w:tc>
          <w:tcPr>
            <w:tcW w:w="1895" w:type="dxa"/>
            <w:vAlign w:val="center"/>
          </w:tcPr>
          <w:p w14:paraId="0DE95A3B" w14:textId="5EB41A96" w:rsidR="00EE1F82" w:rsidRPr="00F74161" w:rsidRDefault="00EE1F82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Maximum z výzvy</w:t>
            </w:r>
          </w:p>
        </w:tc>
        <w:tc>
          <w:tcPr>
            <w:tcW w:w="1402" w:type="dxa"/>
            <w:vAlign w:val="center"/>
          </w:tcPr>
          <w:p w14:paraId="4C373C76" w14:textId="62B9DCE2" w:rsidR="00EE1F82" w:rsidRPr="00F74161" w:rsidRDefault="00EE1F82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n/r</w:t>
            </w:r>
          </w:p>
        </w:tc>
      </w:tr>
      <w:tr w:rsidR="00CE42FF" w:rsidRPr="00F74161" w14:paraId="11D6C9C6" w14:textId="577AAEF1" w:rsidTr="00CE42FF">
        <w:trPr>
          <w:trHeight w:val="411"/>
        </w:trPr>
        <w:tc>
          <w:tcPr>
            <w:tcW w:w="2173" w:type="dxa"/>
            <w:shd w:val="clear" w:color="auto" w:fill="BDD6EE" w:themeFill="accent1" w:themeFillTint="66"/>
            <w:vAlign w:val="center"/>
          </w:tcPr>
          <w:p w14:paraId="320BC2BD" w14:textId="560D7A73" w:rsidR="00CE42FF" w:rsidRPr="00F74161" w:rsidRDefault="00CE42FF" w:rsidP="00CE42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Pokyny CEEAG</w:t>
            </w:r>
          </w:p>
        </w:tc>
        <w:tc>
          <w:tcPr>
            <w:tcW w:w="1795" w:type="dxa"/>
            <w:vAlign w:val="center"/>
          </w:tcPr>
          <w:p w14:paraId="083A91AC" w14:textId="7777777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Dle notifikace</w:t>
            </w:r>
          </w:p>
        </w:tc>
        <w:tc>
          <w:tcPr>
            <w:tcW w:w="1807" w:type="dxa"/>
            <w:vAlign w:val="center"/>
          </w:tcPr>
          <w:p w14:paraId="49F33220" w14:textId="7777777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Dle notifikace</w:t>
            </w:r>
          </w:p>
        </w:tc>
        <w:tc>
          <w:tcPr>
            <w:tcW w:w="1895" w:type="dxa"/>
            <w:vAlign w:val="center"/>
          </w:tcPr>
          <w:p w14:paraId="220DD210" w14:textId="7A4C23FC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Dle notifikace</w:t>
            </w:r>
          </w:p>
        </w:tc>
        <w:tc>
          <w:tcPr>
            <w:tcW w:w="1402" w:type="dxa"/>
            <w:vAlign w:val="center"/>
          </w:tcPr>
          <w:p w14:paraId="18963BB4" w14:textId="7B4C4C0C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n/r</w:t>
            </w:r>
          </w:p>
        </w:tc>
      </w:tr>
      <w:tr w:rsidR="00CE42FF" w:rsidRPr="00F74161" w14:paraId="78CF7FAD" w14:textId="567D2E4C" w:rsidTr="00CE42FF">
        <w:trPr>
          <w:trHeight w:val="403"/>
        </w:trPr>
        <w:tc>
          <w:tcPr>
            <w:tcW w:w="2173" w:type="dxa"/>
            <w:shd w:val="clear" w:color="auto" w:fill="BDD6EE" w:themeFill="accent1" w:themeFillTint="66"/>
            <w:vAlign w:val="center"/>
          </w:tcPr>
          <w:p w14:paraId="780763BA" w14:textId="77777777" w:rsidR="00CE42FF" w:rsidRPr="00F74161" w:rsidRDefault="00CE42FF" w:rsidP="00CE42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b/>
                <w:sz w:val="20"/>
                <w:szCs w:val="20"/>
              </w:rPr>
              <w:t>Pokyny AGRI</w:t>
            </w:r>
          </w:p>
        </w:tc>
        <w:tc>
          <w:tcPr>
            <w:tcW w:w="1795" w:type="dxa"/>
            <w:vAlign w:val="center"/>
          </w:tcPr>
          <w:p w14:paraId="4E89DC9E" w14:textId="7777777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Dle notifikace</w:t>
            </w:r>
          </w:p>
        </w:tc>
        <w:tc>
          <w:tcPr>
            <w:tcW w:w="1807" w:type="dxa"/>
            <w:vAlign w:val="center"/>
          </w:tcPr>
          <w:p w14:paraId="19E17197" w14:textId="77777777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Dle notifikace</w:t>
            </w:r>
          </w:p>
        </w:tc>
        <w:tc>
          <w:tcPr>
            <w:tcW w:w="1895" w:type="dxa"/>
            <w:vAlign w:val="center"/>
          </w:tcPr>
          <w:p w14:paraId="50E8091C" w14:textId="1CE27761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Dle notifikace</w:t>
            </w:r>
          </w:p>
        </w:tc>
        <w:tc>
          <w:tcPr>
            <w:tcW w:w="1402" w:type="dxa"/>
            <w:vAlign w:val="center"/>
          </w:tcPr>
          <w:p w14:paraId="1B660582" w14:textId="390E61AB" w:rsidR="00CE42FF" w:rsidRPr="00F74161" w:rsidRDefault="00CE42FF" w:rsidP="00CE42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4161">
              <w:rPr>
                <w:rFonts w:ascii="Segoe UI" w:hAnsi="Segoe UI" w:cs="Segoe UI"/>
                <w:sz w:val="20"/>
                <w:szCs w:val="20"/>
              </w:rPr>
              <w:t>n/r</w:t>
            </w:r>
          </w:p>
        </w:tc>
      </w:tr>
    </w:tbl>
    <w:p w14:paraId="4B61F72C" w14:textId="20D6EA46" w:rsidR="00444531" w:rsidRPr="00A63EF0" w:rsidRDefault="00444531">
      <w:pPr>
        <w:rPr>
          <w:rFonts w:ascii="Segoe UI" w:hAnsi="Segoe UI" w:cs="Segoe UI"/>
        </w:rPr>
      </w:pPr>
    </w:p>
    <w:p w14:paraId="6FE652E6" w14:textId="36D10E84" w:rsidR="008576A9" w:rsidRPr="00A63EF0" w:rsidRDefault="008576A9">
      <w:pPr>
        <w:rPr>
          <w:rFonts w:ascii="Segoe UI" w:hAnsi="Segoe UI" w:cs="Segoe UI"/>
        </w:rPr>
      </w:pPr>
    </w:p>
    <w:sectPr w:rsidR="008576A9" w:rsidRPr="00A63E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037B5" w14:textId="77777777" w:rsidR="004209B2" w:rsidRDefault="004209B2" w:rsidP="005E5487">
      <w:pPr>
        <w:spacing w:after="0" w:line="240" w:lineRule="auto"/>
      </w:pPr>
      <w:r>
        <w:separator/>
      </w:r>
    </w:p>
  </w:endnote>
  <w:endnote w:type="continuationSeparator" w:id="0">
    <w:p w14:paraId="20C41EC7" w14:textId="77777777" w:rsidR="004209B2" w:rsidRDefault="004209B2" w:rsidP="005E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AE36" w14:textId="77777777" w:rsidR="004209B2" w:rsidRDefault="004209B2" w:rsidP="005E5487">
      <w:pPr>
        <w:spacing w:after="0" w:line="240" w:lineRule="auto"/>
      </w:pPr>
      <w:r>
        <w:separator/>
      </w:r>
    </w:p>
  </w:footnote>
  <w:footnote w:type="continuationSeparator" w:id="0">
    <w:p w14:paraId="3475FA42" w14:textId="77777777" w:rsidR="004209B2" w:rsidRDefault="004209B2" w:rsidP="005E5487">
      <w:pPr>
        <w:spacing w:after="0" w:line="240" w:lineRule="auto"/>
      </w:pPr>
      <w:r>
        <w:continuationSeparator/>
      </w:r>
    </w:p>
  </w:footnote>
  <w:footnote w:id="1">
    <w:p w14:paraId="007EEB75" w14:textId="6DDB0E03" w:rsidR="00912355" w:rsidRPr="00D97046" w:rsidRDefault="00912355" w:rsidP="00D97046">
      <w:pPr>
        <w:pStyle w:val="Textpoznpodarou"/>
        <w:spacing w:line="312" w:lineRule="auto"/>
        <w:rPr>
          <w:rFonts w:ascii="Segoe UI" w:hAnsi="Segoe UI" w:cs="Segoe UI"/>
          <w:sz w:val="18"/>
          <w:szCs w:val="18"/>
        </w:rPr>
      </w:pPr>
      <w:r w:rsidRPr="00D97046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D97046">
        <w:rPr>
          <w:rFonts w:ascii="Segoe UI" w:hAnsi="Segoe UI" w:cs="Segoe UI"/>
          <w:sz w:val="18"/>
          <w:szCs w:val="18"/>
        </w:rPr>
        <w:t xml:space="preserve"> NUTS </w:t>
      </w:r>
      <w:r w:rsidR="002F4E41" w:rsidRPr="00D97046">
        <w:rPr>
          <w:rFonts w:ascii="Segoe UI" w:hAnsi="Segoe UI" w:cs="Segoe UI"/>
          <w:sz w:val="18"/>
          <w:szCs w:val="18"/>
        </w:rPr>
        <w:t>II – CZ04</w:t>
      </w:r>
      <w:r w:rsidRPr="00D97046">
        <w:rPr>
          <w:rFonts w:ascii="Segoe UI" w:hAnsi="Segoe UI" w:cs="Segoe UI"/>
          <w:sz w:val="18"/>
          <w:szCs w:val="18"/>
        </w:rPr>
        <w:t xml:space="preserve"> Severozápad, CZ05 Severovýchod, CZ07 Střední Morava, CZ08 </w:t>
      </w:r>
      <w:r w:rsidRPr="00D97046">
        <w:rPr>
          <w:rFonts w:ascii="Segoe UI" w:hAnsi="Segoe UI" w:cs="Segoe UI"/>
          <w:sz w:val="18"/>
          <w:szCs w:val="18"/>
        </w:rPr>
        <w:tab/>
        <w:t>Moravskoslezsko</w:t>
      </w:r>
    </w:p>
  </w:footnote>
  <w:footnote w:id="2">
    <w:p w14:paraId="51796386" w14:textId="1697F012" w:rsidR="00912355" w:rsidRPr="00D97046" w:rsidRDefault="00912355" w:rsidP="00D97046">
      <w:pPr>
        <w:pStyle w:val="Textpoznpodarou"/>
        <w:spacing w:line="312" w:lineRule="auto"/>
        <w:rPr>
          <w:rFonts w:ascii="Segoe UI" w:hAnsi="Segoe UI" w:cs="Segoe UI"/>
          <w:sz w:val="18"/>
          <w:szCs w:val="18"/>
        </w:rPr>
      </w:pPr>
      <w:r w:rsidRPr="00D97046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D97046">
        <w:rPr>
          <w:rFonts w:ascii="Segoe UI" w:hAnsi="Segoe UI" w:cs="Segoe UI"/>
          <w:sz w:val="18"/>
          <w:szCs w:val="18"/>
        </w:rPr>
        <w:t xml:space="preserve"> NUTS </w:t>
      </w:r>
      <w:r w:rsidR="002F4E41" w:rsidRPr="00D97046">
        <w:rPr>
          <w:rFonts w:ascii="Segoe UI" w:hAnsi="Segoe UI" w:cs="Segoe UI"/>
          <w:sz w:val="18"/>
          <w:szCs w:val="18"/>
        </w:rPr>
        <w:t>II – CZ02</w:t>
      </w:r>
      <w:r w:rsidRPr="00D97046">
        <w:rPr>
          <w:rFonts w:ascii="Segoe UI" w:hAnsi="Segoe UI" w:cs="Segoe UI"/>
          <w:sz w:val="18"/>
          <w:szCs w:val="18"/>
        </w:rPr>
        <w:t xml:space="preserve"> Střední Čechy; CZ03 Jihozápad, CZ06 Jihovýchod</w:t>
      </w:r>
    </w:p>
  </w:footnote>
  <w:footnote w:id="3">
    <w:p w14:paraId="21451DCB" w14:textId="46D5DD71" w:rsidR="00A054CE" w:rsidRDefault="00A054CE" w:rsidP="00D97046">
      <w:pPr>
        <w:pStyle w:val="Textpoznpodarou"/>
        <w:spacing w:line="312" w:lineRule="auto"/>
      </w:pPr>
      <w:r w:rsidRPr="00D97046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D97046">
        <w:rPr>
          <w:rFonts w:ascii="Segoe UI" w:hAnsi="Segoe UI" w:cs="Segoe UI"/>
          <w:sz w:val="18"/>
          <w:szCs w:val="18"/>
        </w:rPr>
        <w:t xml:space="preserve"> </w:t>
      </w:r>
      <w:r w:rsidR="000E5ECA" w:rsidRPr="00D97046">
        <w:rPr>
          <w:rFonts w:ascii="Segoe UI" w:hAnsi="Segoe UI" w:cs="Segoe UI"/>
          <w:sz w:val="18"/>
          <w:szCs w:val="18"/>
        </w:rPr>
        <w:t>Rozhodnutí Komise</w:t>
      </w:r>
      <w:r w:rsidR="00D45A24">
        <w:rPr>
          <w:rFonts w:ascii="Segoe UI" w:hAnsi="Segoe UI" w:cs="Segoe UI"/>
          <w:sz w:val="18"/>
          <w:szCs w:val="18"/>
        </w:rPr>
        <w:t xml:space="preserve"> </w:t>
      </w:r>
      <w:r w:rsidR="00D45A24">
        <w:rPr>
          <w:rFonts w:ascii="Arial" w:hAnsi="Arial" w:cs="Arial"/>
          <w:color w:val="414042"/>
          <w:sz w:val="18"/>
          <w:szCs w:val="18"/>
          <w:shd w:val="clear" w:color="auto" w:fill="FFFFFF"/>
        </w:rPr>
        <w:t>SA.104844</w:t>
      </w:r>
      <w:r w:rsidR="000E5ECA" w:rsidRPr="00D97046">
        <w:rPr>
          <w:rFonts w:ascii="Segoe UI" w:hAnsi="Segoe UI" w:cs="Segoe UI"/>
          <w:sz w:val="18"/>
          <w:szCs w:val="18"/>
        </w:rPr>
        <w:t xml:space="preserve">: </w:t>
      </w:r>
      <w:bookmarkStart w:id="0" w:name="_GoBack"/>
      <w:bookmarkEnd w:id="0"/>
    </w:p>
  </w:footnote>
  <w:footnote w:id="4">
    <w:p w14:paraId="20247F2F" w14:textId="03CC8594" w:rsidR="00CE42FF" w:rsidRPr="00D97046" w:rsidRDefault="00CE42FF">
      <w:pPr>
        <w:pStyle w:val="Textpoznpodarou"/>
        <w:rPr>
          <w:rFonts w:ascii="Segoe UI" w:hAnsi="Segoe UI" w:cs="Segoe UI"/>
          <w:sz w:val="18"/>
          <w:szCs w:val="18"/>
        </w:rPr>
      </w:pPr>
      <w:r w:rsidRPr="00D97046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D97046">
        <w:rPr>
          <w:rFonts w:ascii="Segoe UI" w:hAnsi="Segoe UI" w:cs="Segoe UI"/>
          <w:sz w:val="18"/>
          <w:szCs w:val="18"/>
        </w:rPr>
        <w:t xml:space="preserve"> Pouze pro subjekty pověřené výkonem služby v obecném hospodářském zájmu.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38ED" w14:textId="33F66BA1" w:rsidR="00B4381C" w:rsidRDefault="00B4381C">
    <w:pPr>
      <w:pStyle w:val="Zhlav"/>
    </w:pPr>
    <w:r w:rsidRPr="00B4381C">
      <w:rPr>
        <w:noProof/>
      </w:rPr>
      <w:drawing>
        <wp:inline distT="0" distB="0" distL="0" distR="0" wp14:anchorId="2A4407DE" wp14:editId="141E8B27">
          <wp:extent cx="5760720" cy="419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31"/>
    <w:rsid w:val="0003095B"/>
    <w:rsid w:val="00061004"/>
    <w:rsid w:val="00070ED3"/>
    <w:rsid w:val="000B6DEF"/>
    <w:rsid w:val="000D7C57"/>
    <w:rsid w:val="000E5ECA"/>
    <w:rsid w:val="00134707"/>
    <w:rsid w:val="00166C53"/>
    <w:rsid w:val="001D5F27"/>
    <w:rsid w:val="00200722"/>
    <w:rsid w:val="0021167E"/>
    <w:rsid w:val="00223B83"/>
    <w:rsid w:val="00251A93"/>
    <w:rsid w:val="002A691F"/>
    <w:rsid w:val="002B075C"/>
    <w:rsid w:val="002B6713"/>
    <w:rsid w:val="002E2A60"/>
    <w:rsid w:val="002F4E41"/>
    <w:rsid w:val="0032790E"/>
    <w:rsid w:val="0038138A"/>
    <w:rsid w:val="00391BB5"/>
    <w:rsid w:val="003F046B"/>
    <w:rsid w:val="004209B2"/>
    <w:rsid w:val="004308E8"/>
    <w:rsid w:val="00444531"/>
    <w:rsid w:val="004D4539"/>
    <w:rsid w:val="0054750B"/>
    <w:rsid w:val="00551BA0"/>
    <w:rsid w:val="005E0DB3"/>
    <w:rsid w:val="005E5487"/>
    <w:rsid w:val="00673CF0"/>
    <w:rsid w:val="00676E72"/>
    <w:rsid w:val="006906AD"/>
    <w:rsid w:val="006F64FE"/>
    <w:rsid w:val="007546EA"/>
    <w:rsid w:val="007603B6"/>
    <w:rsid w:val="00795F73"/>
    <w:rsid w:val="007E45AD"/>
    <w:rsid w:val="00822A83"/>
    <w:rsid w:val="008576A9"/>
    <w:rsid w:val="00870741"/>
    <w:rsid w:val="00912355"/>
    <w:rsid w:val="009E6DCA"/>
    <w:rsid w:val="009F051D"/>
    <w:rsid w:val="00A00D2D"/>
    <w:rsid w:val="00A054CE"/>
    <w:rsid w:val="00A2084D"/>
    <w:rsid w:val="00A40625"/>
    <w:rsid w:val="00A63EF0"/>
    <w:rsid w:val="00A73761"/>
    <w:rsid w:val="00A92DDF"/>
    <w:rsid w:val="00B12AB3"/>
    <w:rsid w:val="00B2575E"/>
    <w:rsid w:val="00B25C3D"/>
    <w:rsid w:val="00B406B5"/>
    <w:rsid w:val="00B4381C"/>
    <w:rsid w:val="00B80B67"/>
    <w:rsid w:val="00BC2582"/>
    <w:rsid w:val="00BF35A4"/>
    <w:rsid w:val="00C16F4B"/>
    <w:rsid w:val="00C21CB7"/>
    <w:rsid w:val="00C23D4E"/>
    <w:rsid w:val="00C64203"/>
    <w:rsid w:val="00C746E6"/>
    <w:rsid w:val="00CA1EE2"/>
    <w:rsid w:val="00CB2BDE"/>
    <w:rsid w:val="00CD6D9D"/>
    <w:rsid w:val="00CE42FF"/>
    <w:rsid w:val="00CE5D97"/>
    <w:rsid w:val="00D15D22"/>
    <w:rsid w:val="00D45A24"/>
    <w:rsid w:val="00D97046"/>
    <w:rsid w:val="00DB64D0"/>
    <w:rsid w:val="00DD09D7"/>
    <w:rsid w:val="00DF3042"/>
    <w:rsid w:val="00E01E56"/>
    <w:rsid w:val="00E15C64"/>
    <w:rsid w:val="00E619CC"/>
    <w:rsid w:val="00EE1F82"/>
    <w:rsid w:val="00F571BB"/>
    <w:rsid w:val="00F74161"/>
    <w:rsid w:val="00F82FE7"/>
    <w:rsid w:val="00F8702C"/>
    <w:rsid w:val="00FA6A14"/>
    <w:rsid w:val="00FC5768"/>
    <w:rsid w:val="00FE6E4E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E9D3"/>
  <w15:chartTrackingRefBased/>
  <w15:docId w15:val="{7AD37832-11D5-4B67-9592-38778F5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13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54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54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548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00D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D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D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D2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E5EC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5EC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5ECA"/>
    <w:rPr>
      <w:color w:val="954F72" w:themeColor="followedHyperlink"/>
      <w:u w:val="single"/>
    </w:rPr>
  </w:style>
  <w:style w:type="paragraph" w:customStyle="1" w:styleId="CM1">
    <w:name w:val="CM1"/>
    <w:basedOn w:val="Normln"/>
    <w:next w:val="Normln"/>
    <w:uiPriority w:val="99"/>
    <w:rsid w:val="006F6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F6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A63EF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4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81C"/>
  </w:style>
  <w:style w:type="paragraph" w:styleId="Zpat">
    <w:name w:val="footer"/>
    <w:basedOn w:val="Normln"/>
    <w:link w:val="ZpatChar"/>
    <w:uiPriority w:val="99"/>
    <w:unhideWhenUsed/>
    <w:rsid w:val="00B4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9391-FC86-40B6-B616-C0E8F964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Smolkova Veronika</dc:creator>
  <cp:keywords/>
  <dc:description/>
  <cp:lastModifiedBy>Michaela Prokopová</cp:lastModifiedBy>
  <cp:revision>5</cp:revision>
  <cp:lastPrinted>2021-06-15T08:51:00Z</cp:lastPrinted>
  <dcterms:created xsi:type="dcterms:W3CDTF">2023-02-10T12:52:00Z</dcterms:created>
  <dcterms:modified xsi:type="dcterms:W3CDTF">2023-05-29T17:06:00Z</dcterms:modified>
</cp:coreProperties>
</file>